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Lato" w:cs="Lato" w:eastAsia="Lato" w:hAnsi="Lato"/>
          <w:b w:val="1"/>
          <w:sz w:val="24"/>
          <w:szCs w:val="24"/>
          <w:highlight w:val="white"/>
        </w:rPr>
      </w:pPr>
      <w:r w:rsidDel="00000000" w:rsidR="00000000" w:rsidRPr="00000000">
        <w:rPr>
          <w:rFonts w:ascii="Lato" w:cs="Lato" w:eastAsia="Lato" w:hAnsi="Lato"/>
          <w:b w:val="1"/>
          <w:sz w:val="24"/>
          <w:szCs w:val="24"/>
          <w:highlight w:val="white"/>
          <w:rtl w:val="0"/>
        </w:rPr>
        <w:t xml:space="preserve">About IOCSF </w:t>
      </w:r>
    </w:p>
    <w:p w:rsidR="00000000" w:rsidDel="00000000" w:rsidP="00000000" w:rsidRDefault="00000000" w:rsidRPr="00000000" w14:paraId="00000002">
      <w:pPr>
        <w:spacing w:line="240" w:lineRule="auto"/>
        <w:rPr>
          <w:rFonts w:ascii="Lato" w:cs="Lato" w:eastAsia="Lato" w:hAnsi="Lato"/>
          <w:b w:val="1"/>
          <w:sz w:val="24"/>
          <w:szCs w:val="24"/>
          <w:highlight w:val="white"/>
        </w:rPr>
      </w:pPr>
      <w:r w:rsidDel="00000000" w:rsidR="00000000" w:rsidRPr="00000000">
        <w:rPr>
          <w:rtl w:val="0"/>
        </w:rPr>
      </w:r>
    </w:p>
    <w:p w:rsidR="00000000" w:rsidDel="00000000" w:rsidP="00000000" w:rsidRDefault="00000000" w:rsidRPr="00000000" w14:paraId="00000003">
      <w:pPr>
        <w:spacing w:line="240" w:lineRule="auto"/>
        <w:rPr>
          <w:rFonts w:ascii="Lato" w:cs="Lato" w:eastAsia="Lato" w:hAnsi="Lato"/>
          <w:sz w:val="24"/>
          <w:szCs w:val="24"/>
          <w:highlight w:val="white"/>
        </w:rPr>
      </w:pPr>
      <w:r w:rsidDel="00000000" w:rsidR="00000000" w:rsidRPr="00000000">
        <w:rPr>
          <w:rFonts w:ascii="Lato" w:cs="Lato" w:eastAsia="Lato" w:hAnsi="Lato"/>
          <w:sz w:val="24"/>
          <w:szCs w:val="24"/>
          <w:highlight w:val="white"/>
          <w:rtl w:val="0"/>
        </w:rPr>
        <w:t xml:space="preserve">Recipient of the C</w:t>
      </w:r>
      <w:r w:rsidDel="00000000" w:rsidR="00000000" w:rsidRPr="00000000">
        <w:rPr>
          <w:rFonts w:ascii="Lato" w:cs="Lato" w:eastAsia="Lato" w:hAnsi="Lato"/>
          <w:sz w:val="24"/>
          <w:szCs w:val="24"/>
          <w:highlight w:val="white"/>
          <w:rtl w:val="0"/>
        </w:rPr>
        <w:t xml:space="preserve">horus America</w:t>
      </w:r>
      <w:r w:rsidDel="00000000" w:rsidR="00000000" w:rsidRPr="00000000">
        <w:rPr>
          <w:rFonts w:ascii="Lato" w:cs="Lato" w:eastAsia="Lato" w:hAnsi="Lato"/>
          <w:sz w:val="24"/>
          <w:szCs w:val="24"/>
          <w:highlight w:val="white"/>
          <w:rtl w:val="0"/>
        </w:rPr>
        <w:t xml:space="preserve">  / ASCAP Award for Adventurous Programming, the International Orange Chorale of San Francisco (IOCSF), led by Artistic Director Zane Fiala, was founded in 2003.  Named after the color of the Golden Gate Bridge, the International Orange Chorale of San Francisco is an auditioned, all- volunteer chamber choir devoted to performing established repertoire of all periods, with particular attention to contemporary music, including newly commissioned works by promising composers.</w:t>
      </w:r>
    </w:p>
    <w:p w:rsidR="00000000" w:rsidDel="00000000" w:rsidP="00000000" w:rsidRDefault="00000000" w:rsidRPr="00000000" w14:paraId="00000004">
      <w:pPr>
        <w:spacing w:line="240" w:lineRule="auto"/>
        <w:rPr>
          <w:rFonts w:ascii="Lato" w:cs="Lato" w:eastAsia="Lato" w:hAnsi="Lato"/>
          <w:sz w:val="24"/>
          <w:szCs w:val="24"/>
          <w:highlight w:val="white"/>
        </w:rPr>
      </w:pPr>
      <w:r w:rsidDel="00000000" w:rsidR="00000000" w:rsidRPr="00000000">
        <w:rPr>
          <w:rtl w:val="0"/>
        </w:rPr>
      </w:r>
    </w:p>
    <w:p w:rsidR="00000000" w:rsidDel="00000000" w:rsidP="00000000" w:rsidRDefault="00000000" w:rsidRPr="00000000" w14:paraId="00000005">
      <w:pPr>
        <w:spacing w:line="240" w:lineRule="auto"/>
        <w:rPr>
          <w:rFonts w:ascii="Lato" w:cs="Lato" w:eastAsia="Lato" w:hAnsi="Lato"/>
          <w:sz w:val="24"/>
          <w:szCs w:val="24"/>
          <w:highlight w:val="white"/>
        </w:rPr>
      </w:pPr>
      <w:r w:rsidDel="00000000" w:rsidR="00000000" w:rsidRPr="00000000">
        <w:rPr>
          <w:rFonts w:ascii="Lato" w:cs="Lato" w:eastAsia="Lato" w:hAnsi="Lato"/>
          <w:sz w:val="24"/>
          <w:szCs w:val="24"/>
          <w:highlight w:val="white"/>
          <w:rtl w:val="0"/>
        </w:rPr>
        <w:t xml:space="preserve">To date, the International Orange Chorale of San Francisco has premiered more than 80 choral works, including Milton Babbitt’s “Music for the Mass,” Nico Muhly’s “Lorde Hear My Prayer,” Jake Heggie’s “Faith Disquiet,” and Pulitzer Prize- winner Caroline Shaw’s “Fly Away I.” IOCSF has collaborated with Frederica von Stade, Zheng Cao, Jake Heggie, and Nicolle Foland; appeared as part of the Noontime Concert Series at Old St. Mary’s Church and the Noe Valley Chamber Music Series in San Francisco; performed in collaboration with the Yale Glee Club at Grace Cathedral; participated in the Haiti Earthquake Relief Concert at the Cathedral of Christ the Light in Oakland; and served as a Featured Ensemble at the Chorus America National Conference by giving both performances and master classes. Since its inception, the group has been committed to performing free concerts featuring challenging and imaginative a cappella choral programming.</w:t>
      </w:r>
    </w:p>
    <w:p w:rsidR="00000000" w:rsidDel="00000000" w:rsidP="00000000" w:rsidRDefault="00000000" w:rsidRPr="00000000" w14:paraId="00000006">
      <w:pPr>
        <w:spacing w:line="240" w:lineRule="auto"/>
        <w:rPr>
          <w:rFonts w:ascii="Lato" w:cs="Lato" w:eastAsia="Lato" w:hAnsi="Lato"/>
          <w:sz w:val="24"/>
          <w:szCs w:val="24"/>
          <w:highlight w:val="white"/>
        </w:rPr>
      </w:pPr>
      <w:r w:rsidDel="00000000" w:rsidR="00000000" w:rsidRPr="00000000">
        <w:rPr>
          <w:rtl w:val="0"/>
        </w:rPr>
      </w:r>
    </w:p>
    <w:p w:rsidR="00000000" w:rsidDel="00000000" w:rsidP="00000000" w:rsidRDefault="00000000" w:rsidRPr="00000000" w14:paraId="00000007">
      <w:pPr>
        <w:spacing w:line="240" w:lineRule="auto"/>
        <w:rPr>
          <w:rFonts w:ascii="Lato" w:cs="Lato" w:eastAsia="Lato" w:hAnsi="Lato"/>
          <w:sz w:val="24"/>
          <w:szCs w:val="24"/>
          <w:highlight w:val="white"/>
        </w:rPr>
      </w:pPr>
      <w:r w:rsidDel="00000000" w:rsidR="00000000" w:rsidRPr="00000000">
        <w:rPr>
          <w:rFonts w:ascii="Lato" w:cs="Lato" w:eastAsia="Lato" w:hAnsi="Lato"/>
          <w:sz w:val="24"/>
          <w:szCs w:val="24"/>
          <w:highlight w:val="white"/>
          <w:rtl w:val="0"/>
        </w:rPr>
        <w:t xml:space="preserve">Website:  </w:t>
      </w:r>
      <w:hyperlink r:id="rId6">
        <w:r w:rsidDel="00000000" w:rsidR="00000000" w:rsidRPr="00000000">
          <w:rPr>
            <w:rFonts w:ascii="Lato" w:cs="Lato" w:eastAsia="Lato" w:hAnsi="Lato"/>
            <w:color w:val="1155cc"/>
            <w:sz w:val="24"/>
            <w:szCs w:val="24"/>
            <w:highlight w:val="white"/>
            <w:u w:val="single"/>
            <w:rtl w:val="0"/>
          </w:rPr>
          <w:t xml:space="preserve">iocsf.org</w:t>
        </w:r>
      </w:hyperlink>
      <w:r w:rsidDel="00000000" w:rsidR="00000000" w:rsidRPr="00000000">
        <w:rPr>
          <w:rtl w:val="0"/>
        </w:rPr>
      </w:r>
    </w:p>
    <w:p w:rsidR="00000000" w:rsidDel="00000000" w:rsidP="00000000" w:rsidRDefault="00000000" w:rsidRPr="00000000" w14:paraId="00000008">
      <w:pPr>
        <w:spacing w:line="240" w:lineRule="auto"/>
        <w:rPr>
          <w:rFonts w:ascii="Lato" w:cs="Lato" w:eastAsia="Lato" w:hAnsi="Lato"/>
          <w:sz w:val="24"/>
          <w:szCs w:val="24"/>
          <w:highlight w:val="white"/>
        </w:rPr>
      </w:pPr>
      <w:r w:rsidDel="00000000" w:rsidR="00000000" w:rsidRPr="00000000">
        <w:rPr>
          <w:rFonts w:ascii="Lato" w:cs="Lato" w:eastAsia="Lato" w:hAnsi="Lato"/>
          <w:sz w:val="24"/>
          <w:szCs w:val="24"/>
          <w:highlight w:val="white"/>
          <w:rtl w:val="0"/>
        </w:rPr>
        <w:t xml:space="preserve">F</w:t>
      </w:r>
      <w:r w:rsidDel="00000000" w:rsidR="00000000" w:rsidRPr="00000000">
        <w:rPr>
          <w:rFonts w:ascii="Lato" w:cs="Lato" w:eastAsia="Lato" w:hAnsi="Lato"/>
          <w:sz w:val="24"/>
          <w:szCs w:val="24"/>
          <w:highlight w:val="white"/>
          <w:rtl w:val="0"/>
        </w:rPr>
        <w:t xml:space="preserve">acebook: </w:t>
      </w:r>
      <w:hyperlink r:id="rId7">
        <w:r w:rsidDel="00000000" w:rsidR="00000000" w:rsidRPr="00000000">
          <w:rPr>
            <w:rFonts w:ascii="Lato" w:cs="Lato" w:eastAsia="Lato" w:hAnsi="Lato"/>
            <w:color w:val="1155cc"/>
            <w:sz w:val="24"/>
            <w:szCs w:val="24"/>
            <w:highlight w:val="white"/>
            <w:u w:val="single"/>
            <w:rtl w:val="0"/>
          </w:rPr>
          <w:t xml:space="preserve">facebook.com/iocsf</w:t>
        </w:r>
      </w:hyperlink>
      <w:r w:rsidDel="00000000" w:rsidR="00000000" w:rsidRPr="00000000">
        <w:rPr>
          <w:rtl w:val="0"/>
        </w:rPr>
      </w:r>
    </w:p>
    <w:p w:rsidR="00000000" w:rsidDel="00000000" w:rsidP="00000000" w:rsidRDefault="00000000" w:rsidRPr="00000000" w14:paraId="00000009">
      <w:pPr>
        <w:spacing w:line="240" w:lineRule="auto"/>
        <w:rPr>
          <w:rFonts w:ascii="Lato" w:cs="Lato" w:eastAsia="Lato" w:hAnsi="Lato"/>
          <w:sz w:val="24"/>
          <w:szCs w:val="24"/>
          <w:highlight w:val="white"/>
        </w:rPr>
      </w:pPr>
      <w:r w:rsidDel="00000000" w:rsidR="00000000" w:rsidRPr="00000000">
        <w:rPr>
          <w:rFonts w:ascii="Lato" w:cs="Lato" w:eastAsia="Lato" w:hAnsi="Lato"/>
          <w:sz w:val="24"/>
          <w:szCs w:val="24"/>
          <w:highlight w:val="white"/>
          <w:rtl w:val="0"/>
        </w:rPr>
        <w:t xml:space="preserve">Instagram: </w:t>
      </w:r>
      <w:hyperlink r:id="rId8">
        <w:r w:rsidDel="00000000" w:rsidR="00000000" w:rsidRPr="00000000">
          <w:rPr>
            <w:rFonts w:ascii="Lato" w:cs="Lato" w:eastAsia="Lato" w:hAnsi="Lato"/>
            <w:color w:val="1155cc"/>
            <w:sz w:val="24"/>
            <w:szCs w:val="24"/>
            <w:highlight w:val="white"/>
            <w:u w:val="single"/>
            <w:rtl w:val="0"/>
          </w:rPr>
          <w:t xml:space="preserve">@iocsf</w:t>
        </w:r>
      </w:hyperlink>
      <w:r w:rsidDel="00000000" w:rsidR="00000000" w:rsidRPr="00000000">
        <w:rPr>
          <w:rtl w:val="0"/>
        </w:rPr>
      </w:r>
    </w:p>
    <w:p w:rsidR="00000000" w:rsidDel="00000000" w:rsidP="00000000" w:rsidRDefault="00000000" w:rsidRPr="00000000" w14:paraId="0000000A">
      <w:pPr>
        <w:spacing w:line="240" w:lineRule="auto"/>
        <w:rPr>
          <w:rFonts w:ascii="Lato" w:cs="Lato" w:eastAsia="Lato" w:hAnsi="Lato"/>
          <w:sz w:val="24"/>
          <w:szCs w:val="24"/>
          <w:highlight w:val="white"/>
        </w:rPr>
      </w:pPr>
      <w:r w:rsidDel="00000000" w:rsidR="00000000" w:rsidRPr="00000000">
        <w:rPr>
          <w:rFonts w:ascii="Lato" w:cs="Lato" w:eastAsia="Lato" w:hAnsi="Lato"/>
          <w:sz w:val="24"/>
          <w:szCs w:val="24"/>
          <w:highlight w:val="white"/>
          <w:rtl w:val="0"/>
        </w:rPr>
        <w:t xml:space="preserve">YouTube:</w:t>
      </w:r>
      <w:hyperlink r:id="rId9">
        <w:r w:rsidDel="00000000" w:rsidR="00000000" w:rsidRPr="00000000">
          <w:rPr>
            <w:rFonts w:ascii="Lato" w:cs="Lato" w:eastAsia="Lato" w:hAnsi="Lato"/>
            <w:color w:val="1155cc"/>
            <w:sz w:val="24"/>
            <w:szCs w:val="24"/>
            <w:highlight w:val="white"/>
            <w:u w:val="single"/>
            <w:rtl w:val="0"/>
          </w:rPr>
          <w:t xml:space="preserve">@Internationalorangechorale</w:t>
        </w:r>
      </w:hyperlink>
      <w:r w:rsidDel="00000000" w:rsidR="00000000" w:rsidRPr="00000000">
        <w:rPr>
          <w:rFonts w:ascii="Lato" w:cs="Lato" w:eastAsia="Lato" w:hAnsi="Lato"/>
          <w:color w:val="606060"/>
          <w:sz w:val="24"/>
          <w:szCs w:val="24"/>
          <w:highlight w:val="white"/>
          <w:rtl w:val="0"/>
        </w:rPr>
        <w:t xml:space="preserve">. </w:t>
      </w:r>
      <w:r w:rsidDel="00000000" w:rsidR="00000000" w:rsidRPr="00000000">
        <w:rPr>
          <w:rtl w:val="0"/>
        </w:rPr>
      </w:r>
    </w:p>
    <w:tbl>
      <w:tblPr>
        <w:tblStyle w:val="Table1"/>
        <w:tblW w:w="93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35"/>
        <w:tblGridChange w:id="0">
          <w:tblGrid>
            <w:gridCol w:w="9335"/>
          </w:tblGrid>
        </w:tblGridChange>
      </w:tblGrid>
      <w:tr>
        <w:trPr>
          <w:cantSplit w:val="0"/>
          <w:trHeight w:val="2811.9140625" w:hRule="atLeast"/>
          <w:tblHeader w:val="0"/>
        </w:trPr>
        <w:tc>
          <w:tcPr>
            <w:tcBorders>
              <w:top w:color="000000" w:space="0" w:sz="0" w:val="nil"/>
              <w:left w:color="000000" w:space="0" w:sz="0" w:val="nil"/>
              <w:bottom w:color="000000" w:space="0" w:sz="0" w:val="nil"/>
              <w:right w:color="000000" w:space="0" w:sz="0" w:val="nil"/>
            </w:tcBorders>
            <w:tcMar>
              <w:top w:w="140.0" w:type="dxa"/>
              <w:left w:w="100.0" w:type="dxa"/>
              <w:bottom w:w="100.0" w:type="dxa"/>
              <w:right w:w="100.0" w:type="dxa"/>
            </w:tcMar>
            <w:vAlign w:val="top"/>
          </w:tcPr>
          <w:p w:rsidR="00000000" w:rsidDel="00000000" w:rsidP="00000000" w:rsidRDefault="00000000" w:rsidRPr="00000000" w14:paraId="0000000B">
            <w:pPr>
              <w:spacing w:line="240" w:lineRule="auto"/>
              <w:rPr>
                <w:rFonts w:ascii="Lato" w:cs="Lato" w:eastAsia="Lato" w:hAnsi="Lato"/>
                <w:sz w:val="24"/>
                <w:szCs w:val="24"/>
              </w:rPr>
            </w:pPr>
            <w:r w:rsidDel="00000000" w:rsidR="00000000" w:rsidRPr="00000000">
              <w:rPr>
                <w:rtl w:val="0"/>
              </w:rPr>
            </w:r>
          </w:p>
          <w:tbl>
            <w:tblPr>
              <w:tblStyle w:val="Table2"/>
              <w:tblW w:w="9120.0" w:type="dxa"/>
              <w:jc w:val="left"/>
              <w:tblInd w:w="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20"/>
              <w:tblGridChange w:id="0">
                <w:tblGrid>
                  <w:gridCol w:w="9120"/>
                </w:tblGrid>
              </w:tblGridChange>
            </w:tblGrid>
            <w:tr>
              <w:trPr>
                <w:cantSplit w:val="0"/>
                <w:trHeight w:val="153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C">
                  <w:pPr>
                    <w:spacing w:line="240" w:lineRule="auto"/>
                    <w:rPr>
                      <w:rFonts w:ascii="Lato" w:cs="Lato" w:eastAsia="Lato" w:hAnsi="Lato"/>
                      <w:sz w:val="24"/>
                      <w:szCs w:val="24"/>
                    </w:rPr>
                  </w:pPr>
                  <w:r w:rsidDel="00000000" w:rsidR="00000000" w:rsidRPr="00000000">
                    <w:rPr>
                      <w:rtl w:val="0"/>
                    </w:rPr>
                  </w:r>
                </w:p>
                <w:tbl>
                  <w:tblPr>
                    <w:tblStyle w:val="Table3"/>
                    <w:tblW w:w="8870.45923913043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70.459239130434"/>
                    <w:tblGridChange w:id="0">
                      <w:tblGrid>
                        <w:gridCol w:w="8870.459239130434"/>
                      </w:tblGrid>
                    </w:tblGridChange>
                  </w:tblGrid>
                  <w:tr>
                    <w:trPr>
                      <w:cantSplit w:val="0"/>
                      <w:trHeight w:val="133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280.0" w:type="dxa"/>
                          <w:bottom w:w="140.0" w:type="dxa"/>
                          <w:right w:w="280.0" w:type="dxa"/>
                        </w:tcMar>
                        <w:vAlign w:val="top"/>
                      </w:tcPr>
                      <w:p w:rsidR="00000000" w:rsidDel="00000000" w:rsidP="00000000" w:rsidRDefault="00000000" w:rsidRPr="00000000" w14:paraId="0000000D">
                        <w:pPr>
                          <w:spacing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0E">
                        <w:pPr>
                          <w:spacing w:line="240" w:lineRule="auto"/>
                          <w:rPr>
                            <w:rFonts w:ascii="Lato" w:cs="Lato" w:eastAsia="Lato" w:hAnsi="Lato"/>
                            <w:sz w:val="24"/>
                            <w:szCs w:val="24"/>
                          </w:rPr>
                        </w:pPr>
                        <w:r w:rsidDel="00000000" w:rsidR="00000000" w:rsidRPr="00000000">
                          <w:rPr>
                            <w:rtl w:val="0"/>
                          </w:rPr>
                        </w:r>
                      </w:p>
                    </w:tc>
                  </w:tr>
                </w:tbl>
                <w:p w:rsidR="00000000" w:rsidDel="00000000" w:rsidP="00000000" w:rsidRDefault="00000000" w:rsidRPr="00000000" w14:paraId="0000000F">
                  <w:pPr>
                    <w:spacing w:line="240" w:lineRule="auto"/>
                    <w:rPr>
                      <w:rFonts w:ascii="Lato" w:cs="Lato" w:eastAsia="Lato" w:hAnsi="Lato"/>
                      <w:sz w:val="24"/>
                      <w:szCs w:val="24"/>
                    </w:rPr>
                  </w:pPr>
                  <w:r w:rsidDel="00000000" w:rsidR="00000000" w:rsidRPr="00000000">
                    <w:rPr>
                      <w:rtl w:val="0"/>
                    </w:rPr>
                  </w:r>
                </w:p>
              </w:tc>
            </w:tr>
          </w:tbl>
          <w:p w:rsidR="00000000" w:rsidDel="00000000" w:rsidP="00000000" w:rsidRDefault="00000000" w:rsidRPr="00000000" w14:paraId="00000010">
            <w:pPr>
              <w:spacing w:line="240" w:lineRule="auto"/>
              <w:rPr>
                <w:rFonts w:ascii="Lato" w:cs="Lato" w:eastAsia="Lato" w:hAnsi="Lato"/>
                <w:sz w:val="24"/>
                <w:szCs w:val="24"/>
              </w:rPr>
            </w:pPr>
            <w:r w:rsidDel="00000000" w:rsidR="00000000" w:rsidRPr="00000000">
              <w:rPr>
                <w:rtl w:val="0"/>
              </w:rPr>
            </w:r>
          </w:p>
        </w:tc>
      </w:tr>
    </w:tbl>
    <w:p w:rsidR="00000000" w:rsidDel="00000000" w:rsidP="00000000" w:rsidRDefault="00000000" w:rsidRPr="00000000" w14:paraId="00000011">
      <w:pPr>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line="276" w:lineRule="auto"/>
      <w:jc w:val="right"/>
      <w:rPr/>
    </w:pPr>
    <w:r w:rsidDel="00000000" w:rsidR="00000000" w:rsidRPr="00000000">
      <w:rPr>
        <w:rFonts w:ascii="Lato" w:cs="Lato" w:eastAsia="Lato" w:hAnsi="Lato"/>
      </w:rPr>
      <w:drawing>
        <wp:inline distB="19050" distT="19050" distL="19050" distR="19050">
          <wp:extent cx="1062038" cy="10620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62038" cy="10620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youtube.com/c/Internationalorangechorale" TargetMode="External"/><Relationship Id="rId5" Type="http://schemas.openxmlformats.org/officeDocument/2006/relationships/styles" Target="styles.xml"/><Relationship Id="rId6" Type="http://schemas.openxmlformats.org/officeDocument/2006/relationships/hyperlink" Target="https://www.iocsf.org/" TargetMode="External"/><Relationship Id="rId7" Type="http://schemas.openxmlformats.org/officeDocument/2006/relationships/hyperlink" Target="https://www.facebook.com/iocsf/" TargetMode="External"/><Relationship Id="rId8" Type="http://schemas.openxmlformats.org/officeDocument/2006/relationships/hyperlink" Target="https://www.instagram.com/iocs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